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55" w:rsidRDefault="009D5255">
      <w:bookmarkStart w:id="0" w:name="_GoBack"/>
      <w:bookmarkEnd w:id="0"/>
    </w:p>
    <w:p w:rsidR="009D5255" w:rsidRDefault="009C617D">
      <w:pPr>
        <w:pStyle w:val="Textodecuerpo"/>
        <w:jc w:val="center"/>
        <w:rPr>
          <w:b/>
          <w:bCs/>
          <w:sz w:val="40"/>
          <w:szCs w:val="40"/>
          <w:u w:val="single"/>
        </w:rPr>
      </w:pPr>
      <w:r>
        <w:rPr>
          <w:b/>
          <w:bCs/>
          <w:sz w:val="40"/>
          <w:szCs w:val="40"/>
          <w:u w:val="single"/>
        </w:rPr>
        <w:t>Bono social eléctrico</w:t>
      </w:r>
    </w:p>
    <w:p w:rsidR="009D5255" w:rsidRDefault="009D5255">
      <w:pPr>
        <w:pStyle w:val="Textodecuerpo"/>
        <w:rPr>
          <w:rFonts w:ascii="arial;sans-serif" w:hAnsi="arial;sans-serif"/>
          <w:b/>
          <w:bCs/>
          <w:color w:val="222222"/>
          <w:sz w:val="18"/>
        </w:rPr>
      </w:pPr>
    </w:p>
    <w:p w:rsidR="009D5255" w:rsidRDefault="009D5255">
      <w:pPr>
        <w:pStyle w:val="Textodecuerpo"/>
        <w:rPr>
          <w:rFonts w:ascii="arial;sans-serif" w:hAnsi="arial;sans-serif"/>
          <w:b/>
          <w:bCs/>
          <w:color w:val="222222"/>
          <w:sz w:val="18"/>
        </w:rPr>
      </w:pPr>
    </w:p>
    <w:p w:rsidR="009D5255" w:rsidRDefault="009C617D">
      <w:pPr>
        <w:pStyle w:val="Textodecuerpo"/>
      </w:pPr>
      <w:r>
        <w:rPr>
          <w:rFonts w:ascii="arial;sans-serif" w:hAnsi="arial;sans-serif"/>
          <w:b/>
          <w:bCs/>
          <w:color w:val="222222"/>
        </w:rPr>
        <w:t xml:space="preserve">Información de interés obtenida de la organización de consumidores FACUA </w:t>
      </w:r>
      <w:hyperlink r:id="rId6">
        <w:r>
          <w:rPr>
            <w:rStyle w:val="EnlacedeInternet"/>
            <w:rFonts w:ascii="arial;sans-serif" w:hAnsi="arial;sans-serif"/>
            <w:b/>
            <w:bCs/>
            <w:color w:val="222222"/>
          </w:rPr>
          <w:t>https://www.facua.org/</w:t>
        </w:r>
      </w:hyperlink>
    </w:p>
    <w:p w:rsidR="009D5255" w:rsidRDefault="009D5255">
      <w:pPr>
        <w:pStyle w:val="Textodecuerpo"/>
        <w:rPr>
          <w:rFonts w:ascii="arial;sans-serif" w:hAnsi="arial;sans-serif"/>
          <w:b/>
          <w:bCs/>
          <w:color w:val="222222"/>
          <w:sz w:val="18"/>
        </w:rPr>
      </w:pPr>
    </w:p>
    <w:p w:rsidR="009D5255" w:rsidRDefault="009C617D">
      <w:pPr>
        <w:pStyle w:val="Textodecuerpo"/>
        <w:rPr>
          <w:rFonts w:ascii="arial;sans-serif" w:hAnsi="arial;sans-serif"/>
          <w:b/>
          <w:bCs/>
          <w:color w:val="222222"/>
          <w:sz w:val="18"/>
        </w:rPr>
      </w:pPr>
      <w:r>
        <w:rPr>
          <w:noProof/>
          <w:lang w:eastAsia="es-ES" w:bidi="ar-SA"/>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1981200" cy="84772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1981200" cy="847725"/>
                    </a:xfrm>
                    <a:prstGeom prst="rect">
                      <a:avLst/>
                    </a:prstGeom>
                  </pic:spPr>
                </pic:pic>
              </a:graphicData>
            </a:graphic>
          </wp:anchor>
        </w:drawing>
      </w:r>
    </w:p>
    <w:p w:rsidR="009D5255" w:rsidRDefault="009D5255">
      <w:pPr>
        <w:pStyle w:val="Textodecuerpo"/>
        <w:rPr>
          <w:rFonts w:ascii="arial;sans-serif" w:hAnsi="arial;sans-serif"/>
          <w:color w:val="222222"/>
          <w:sz w:val="18"/>
        </w:rPr>
      </w:pPr>
    </w:p>
    <w:p w:rsidR="009D5255" w:rsidRDefault="009D5255">
      <w:pPr>
        <w:pStyle w:val="Textodecuerpo"/>
        <w:rPr>
          <w:rFonts w:ascii="arial;sans-serif" w:hAnsi="arial;sans-serif"/>
          <w:color w:val="222222"/>
          <w:sz w:val="18"/>
        </w:rPr>
      </w:pPr>
    </w:p>
    <w:p w:rsidR="009D5255" w:rsidRDefault="009D5255">
      <w:pPr>
        <w:pStyle w:val="Textodecuerpo"/>
        <w:rPr>
          <w:rFonts w:ascii="arial;sans-serif" w:hAnsi="arial;sans-serif"/>
          <w:color w:val="222222"/>
          <w:sz w:val="18"/>
        </w:rPr>
      </w:pPr>
    </w:p>
    <w:p w:rsidR="009D5255" w:rsidRDefault="009D5255">
      <w:pPr>
        <w:pStyle w:val="Textodecuerpo"/>
        <w:rPr>
          <w:rFonts w:ascii="arial;sans-serif" w:hAnsi="arial;sans-serif"/>
          <w:color w:val="222222"/>
          <w:sz w:val="18"/>
        </w:rPr>
      </w:pPr>
    </w:p>
    <w:p w:rsidR="009D5255" w:rsidRDefault="009C617D">
      <w:pPr>
        <w:pStyle w:val="Textodecuerpo"/>
        <w:rPr>
          <w:b/>
          <w:bCs/>
        </w:rPr>
      </w:pPr>
      <w:r>
        <w:rPr>
          <w:rFonts w:ascii="arial;sans-serif" w:hAnsi="arial;sans-serif"/>
          <w:b/>
          <w:bCs/>
          <w:color w:val="222222"/>
          <w:sz w:val="18"/>
        </w:rPr>
        <w:t xml:space="preserve">El pasado mes de octubre entraron en vigor cambios en la regulación del suministro </w:t>
      </w:r>
      <w:r>
        <w:rPr>
          <w:rFonts w:ascii="arial;sans-serif" w:hAnsi="arial;sans-serif"/>
          <w:b/>
          <w:bCs/>
          <w:color w:val="222222"/>
          <w:sz w:val="18"/>
        </w:rPr>
        <w:t>eléctrico que afectan al llamado bono social, así como a los plazos y requisitos exigidos a las empresas eléctricas para que, en caso de impago, puedan proceder al corte de luz.</w:t>
      </w:r>
    </w:p>
    <w:p w:rsidR="009D5255" w:rsidRDefault="009D5255">
      <w:pPr>
        <w:pStyle w:val="Textodecuerpo"/>
        <w:rPr>
          <w:rFonts w:ascii="arial;sans-serif" w:hAnsi="arial;sans-serif"/>
          <w:color w:val="222222"/>
          <w:sz w:val="18"/>
        </w:rPr>
      </w:pPr>
    </w:p>
    <w:p w:rsidR="009D5255" w:rsidRDefault="009C617D">
      <w:pPr>
        <w:pStyle w:val="Textodecuerpo"/>
      </w:pPr>
      <w:r>
        <w:rPr>
          <w:rStyle w:val="Muydestacado"/>
          <w:rFonts w:ascii="arial;sans-serif" w:hAnsi="arial;sans-serif"/>
          <w:color w:val="222222"/>
          <w:sz w:val="18"/>
          <w:u w:val="single"/>
        </w:rPr>
        <w:t>¿Qué es el bono social?:</w:t>
      </w:r>
    </w:p>
    <w:p w:rsidR="009D5255" w:rsidRDefault="009D5255">
      <w:pPr>
        <w:pStyle w:val="Textodecuerpo"/>
        <w:rPr>
          <w:rFonts w:ascii="arial;sans-serif" w:hAnsi="arial;sans-serif"/>
          <w:color w:val="222222"/>
          <w:sz w:val="18"/>
        </w:rPr>
      </w:pPr>
    </w:p>
    <w:p w:rsidR="009D5255" w:rsidRDefault="009C617D">
      <w:pPr>
        <w:pStyle w:val="Textodecuerpo"/>
        <w:rPr>
          <w:rFonts w:ascii="arial;sans-serif" w:hAnsi="arial;sans-serif"/>
          <w:color w:val="222222"/>
          <w:sz w:val="18"/>
        </w:rPr>
      </w:pPr>
      <w:r>
        <w:rPr>
          <w:rFonts w:ascii="arial;sans-serif" w:hAnsi="arial;sans-serif"/>
          <w:color w:val="222222"/>
          <w:sz w:val="18"/>
        </w:rPr>
        <w:t>El pasado 8 de octubre entró en vigor el Real Decre</w:t>
      </w:r>
      <w:r>
        <w:rPr>
          <w:rFonts w:ascii="arial;sans-serif" w:hAnsi="arial;sans-serif"/>
          <w:color w:val="222222"/>
          <w:sz w:val="18"/>
        </w:rPr>
        <w:t>to 897/2017, de 6 de octubre, por el que se regula la figura del consumidor vulnerable, el bono social y otras medidas de protección para los consumidores domésticos de energía eléctrica.</w:t>
      </w:r>
    </w:p>
    <w:p w:rsidR="009D5255" w:rsidRDefault="009C617D">
      <w:pPr>
        <w:pStyle w:val="Textodecuerpo"/>
        <w:rPr>
          <w:rFonts w:ascii="arial;sans-serif" w:hAnsi="arial;sans-serif"/>
          <w:color w:val="222222"/>
          <w:sz w:val="18"/>
        </w:rPr>
      </w:pPr>
      <w:r>
        <w:rPr>
          <w:rFonts w:ascii="arial;sans-serif" w:hAnsi="arial;sans-serif"/>
          <w:color w:val="222222"/>
          <w:sz w:val="18"/>
        </w:rPr>
        <w:t xml:space="preserve">El bono social es el mecanismo por el que determinados consumidores </w:t>
      </w:r>
      <w:r>
        <w:rPr>
          <w:rFonts w:ascii="arial;sans-serif" w:hAnsi="arial;sans-serif"/>
          <w:color w:val="222222"/>
          <w:sz w:val="18"/>
        </w:rPr>
        <w:t>con un bajo nivel de ingresos y cualquier familia numerosa pueden recibir un descuento en parte de su factura eléctrica. El descuento se realiza sobre la tarifa eléctrica regulada, llamada precio voluntario para el pequeño consumidor (PVPC).</w:t>
      </w:r>
    </w:p>
    <w:p w:rsidR="009D5255" w:rsidRDefault="009C617D">
      <w:pPr>
        <w:pStyle w:val="Textodecuerpo"/>
        <w:rPr>
          <w:rFonts w:ascii="arial;sans-serif" w:hAnsi="arial;sans-serif"/>
          <w:color w:val="222222"/>
          <w:sz w:val="18"/>
        </w:rPr>
      </w:pPr>
      <w:r>
        <w:rPr>
          <w:rFonts w:ascii="arial;sans-serif" w:hAnsi="arial;sans-serif"/>
          <w:color w:val="222222"/>
          <w:sz w:val="18"/>
        </w:rPr>
        <w:t xml:space="preserve">El porcentaje </w:t>
      </w:r>
      <w:r>
        <w:rPr>
          <w:rFonts w:ascii="arial;sans-serif" w:hAnsi="arial;sans-serif"/>
          <w:color w:val="222222"/>
          <w:sz w:val="18"/>
        </w:rPr>
        <w:t>de descuento aplicado variará en función de la clasificación del consumidor que se realiza por esta norma: consumidor vulnerable, consumidor vulnerable severo y consumidor en riesgo de exclusión social. Además, se exigen otros requisitos como límites de co</w:t>
      </w:r>
      <w:r>
        <w:rPr>
          <w:rFonts w:ascii="arial;sans-serif" w:hAnsi="arial;sans-serif"/>
          <w:color w:val="222222"/>
          <w:sz w:val="18"/>
        </w:rPr>
        <w:t>nsumo sobre los que se aplica dicho descuento, entre otros.</w:t>
      </w:r>
    </w:p>
    <w:p w:rsidR="009D5255" w:rsidRDefault="009D5255">
      <w:pPr>
        <w:pStyle w:val="Textodecuerpo"/>
        <w:rPr>
          <w:rStyle w:val="Muydestacado"/>
          <w:rFonts w:ascii="arial;sans-serif" w:hAnsi="arial;sans-serif"/>
          <w:b w:val="0"/>
          <w:color w:val="222222"/>
          <w:sz w:val="18"/>
          <w:u w:val="single"/>
        </w:rPr>
      </w:pPr>
    </w:p>
    <w:p w:rsidR="009D5255" w:rsidRDefault="009C617D">
      <w:pPr>
        <w:pStyle w:val="Textodecuerpo"/>
      </w:pPr>
      <w:r>
        <w:rPr>
          <w:rStyle w:val="Muydestacado"/>
          <w:rFonts w:ascii="arial;sans-serif" w:hAnsi="arial;sans-serif"/>
          <w:b w:val="0"/>
          <w:color w:val="222222"/>
          <w:sz w:val="18"/>
          <w:u w:val="single"/>
        </w:rPr>
        <w:t>Requisitos para acceder al bono social. Consumidor vulnerable, consumidor vulnerable severo y consumidor en riesgo de exclusión social:</w:t>
      </w:r>
    </w:p>
    <w:p w:rsidR="009D5255" w:rsidRDefault="009C617D">
      <w:pPr>
        <w:pStyle w:val="Textodecuerpo"/>
        <w:rPr>
          <w:rFonts w:ascii="arial;sans-serif" w:hAnsi="arial;sans-serif"/>
          <w:color w:val="222222"/>
          <w:sz w:val="18"/>
        </w:rPr>
      </w:pPr>
      <w:r>
        <w:rPr>
          <w:rFonts w:ascii="arial;sans-serif" w:hAnsi="arial;sans-serif"/>
          <w:color w:val="222222"/>
          <w:sz w:val="18"/>
        </w:rPr>
        <w:t xml:space="preserve">Tras la entrada en vigor de este nuevo Real Decreto, los </w:t>
      </w:r>
      <w:r>
        <w:rPr>
          <w:rFonts w:ascii="arial;sans-serif" w:hAnsi="arial;sans-serif"/>
          <w:color w:val="222222"/>
          <w:sz w:val="18"/>
        </w:rPr>
        <w:t>requisitos para poder acceder al bono social han pasado a ser los siguientes:</w:t>
      </w:r>
    </w:p>
    <w:p w:rsidR="009D5255" w:rsidRDefault="009C617D">
      <w:pPr>
        <w:pStyle w:val="Textodecuerpo"/>
        <w:numPr>
          <w:ilvl w:val="0"/>
          <w:numId w:val="1"/>
        </w:numPr>
        <w:tabs>
          <w:tab w:val="left" w:pos="0"/>
        </w:tabs>
        <w:ind w:left="932"/>
        <w:rPr>
          <w:rFonts w:ascii="arial;sans-serif" w:hAnsi="arial;sans-serif"/>
          <w:color w:val="222222"/>
          <w:sz w:val="18"/>
        </w:rPr>
      </w:pPr>
      <w:r>
        <w:rPr>
          <w:rFonts w:ascii="arial;sans-serif" w:hAnsi="arial;sans-serif"/>
          <w:color w:val="222222"/>
          <w:sz w:val="18"/>
        </w:rPr>
        <w:t>Que el consumidor tenga contratada una de las modalidades de tarifa de luz de precio voluntario para el pequeño consumidor (PVPC). Para poder comprobar si su tarifa es una de las</w:t>
      </w:r>
      <w:r>
        <w:rPr>
          <w:rFonts w:ascii="arial;sans-serif" w:hAnsi="arial;sans-serif"/>
          <w:color w:val="222222"/>
          <w:sz w:val="18"/>
        </w:rPr>
        <w:t xml:space="preserve"> modalidades del PVPC o si es una tarifa de mercado libre, deberá consultar su factura. Si tiene contratada la tarifa PVPC, en su factura, en un recuadro inferior de la primera hoja, se indicará este dato.</w:t>
      </w:r>
    </w:p>
    <w:p w:rsidR="009D5255" w:rsidRDefault="009C617D">
      <w:pPr>
        <w:pStyle w:val="Textodecuerpo"/>
        <w:numPr>
          <w:ilvl w:val="0"/>
          <w:numId w:val="1"/>
        </w:numPr>
        <w:tabs>
          <w:tab w:val="left" w:pos="0"/>
        </w:tabs>
        <w:ind w:left="932"/>
        <w:rPr>
          <w:rFonts w:ascii="arial;sans-serif" w:hAnsi="arial;sans-serif"/>
          <w:color w:val="222222"/>
          <w:sz w:val="18"/>
        </w:rPr>
      </w:pPr>
      <w:r>
        <w:rPr>
          <w:rFonts w:ascii="arial;sans-serif" w:hAnsi="arial;sans-serif"/>
          <w:color w:val="222222"/>
          <w:sz w:val="18"/>
        </w:rPr>
        <w:t>Poseer una tarifa contratada igual o inferior a 10</w:t>
      </w:r>
      <w:r>
        <w:rPr>
          <w:rFonts w:ascii="arial;sans-serif" w:hAnsi="arial;sans-serif"/>
          <w:color w:val="222222"/>
          <w:sz w:val="18"/>
        </w:rPr>
        <w:t xml:space="preserve"> Kilowatios (KW). La potencia contratada puede comprobarse en la factura que emite la compañía eléctrica. A mayor potencia contratada, mayor será el número de electrodomésticos conectados a la corriente eléctrica del domicilio que podrán ser utilizados al </w:t>
      </w:r>
      <w:r>
        <w:rPr>
          <w:rFonts w:ascii="arial;sans-serif" w:hAnsi="arial;sans-serif"/>
          <w:color w:val="222222"/>
          <w:sz w:val="18"/>
        </w:rPr>
        <w:t>mismo tiempo.</w:t>
      </w:r>
    </w:p>
    <w:p w:rsidR="009D5255" w:rsidRDefault="009C617D">
      <w:pPr>
        <w:pStyle w:val="Textodecuerpo"/>
        <w:numPr>
          <w:ilvl w:val="0"/>
          <w:numId w:val="1"/>
        </w:numPr>
        <w:tabs>
          <w:tab w:val="left" w:pos="0"/>
        </w:tabs>
        <w:ind w:left="932"/>
        <w:rPr>
          <w:rFonts w:ascii="arial;sans-serif" w:hAnsi="arial;sans-serif"/>
          <w:color w:val="222222"/>
          <w:sz w:val="18"/>
        </w:rPr>
      </w:pPr>
      <w:r>
        <w:rPr>
          <w:rFonts w:ascii="arial;sans-serif" w:hAnsi="arial;sans-serif"/>
          <w:color w:val="222222"/>
          <w:sz w:val="18"/>
        </w:rPr>
        <w:t>Suministro de vivienda habitual.</w:t>
      </w:r>
    </w:p>
    <w:p w:rsidR="009D5255" w:rsidRDefault="009C617D">
      <w:pPr>
        <w:pStyle w:val="Textodecuerpo"/>
        <w:numPr>
          <w:ilvl w:val="0"/>
          <w:numId w:val="1"/>
        </w:numPr>
        <w:tabs>
          <w:tab w:val="left" w:pos="0"/>
        </w:tabs>
        <w:ind w:left="932"/>
        <w:rPr>
          <w:rFonts w:ascii="arial;sans-serif" w:hAnsi="arial;sans-serif"/>
          <w:color w:val="222222"/>
          <w:sz w:val="18"/>
        </w:rPr>
      </w:pPr>
      <w:r>
        <w:rPr>
          <w:rFonts w:ascii="arial;sans-serif" w:hAnsi="arial;sans-serif"/>
          <w:color w:val="222222"/>
          <w:sz w:val="18"/>
        </w:rPr>
        <w:t>Formar parte de alguno de los grupos de beneficiario que se recogen en el siguiente cuadro.</w:t>
      </w:r>
    </w:p>
    <w:p w:rsidR="009D5255" w:rsidRDefault="009D5255">
      <w:pPr>
        <w:pStyle w:val="Textodecuerpo"/>
        <w:ind w:left="225"/>
        <w:rPr>
          <w:rFonts w:ascii="arial;sans-serif" w:hAnsi="arial;sans-serif"/>
          <w:color w:val="222222"/>
          <w:sz w:val="18"/>
        </w:rPr>
      </w:pPr>
    </w:p>
    <w:p w:rsidR="009D5255" w:rsidRDefault="009D5255">
      <w:pPr>
        <w:pStyle w:val="Textodecuerpo"/>
        <w:ind w:left="225"/>
        <w:rPr>
          <w:rFonts w:ascii="arial;sans-serif" w:hAnsi="arial;sans-serif"/>
          <w:color w:val="222222"/>
          <w:sz w:val="18"/>
        </w:rPr>
      </w:pPr>
    </w:p>
    <w:p w:rsidR="009D5255" w:rsidRDefault="009C617D">
      <w:pPr>
        <w:pStyle w:val="Textodecuerpo"/>
      </w:pPr>
      <w:r>
        <w:rPr>
          <w:rStyle w:val="Muydestacado"/>
          <w:rFonts w:ascii="arial;sans-serif" w:hAnsi="arial;sans-serif"/>
          <w:color w:val="222222"/>
        </w:rPr>
        <w:lastRenderedPageBreak/>
        <w:t>Cuadro resumen del bono social</w:t>
      </w:r>
    </w:p>
    <w:tbl>
      <w:tblPr>
        <w:tblW w:w="9298"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7" w:type="dxa"/>
          <w:bottom w:w="28" w:type="dxa"/>
          <w:right w:w="28" w:type="dxa"/>
        </w:tblCellMar>
        <w:tblLook w:val="04A0" w:firstRow="1" w:lastRow="0" w:firstColumn="1" w:lastColumn="0" w:noHBand="0" w:noVBand="1"/>
      </w:tblPr>
      <w:tblGrid>
        <w:gridCol w:w="1884"/>
        <w:gridCol w:w="1601"/>
        <w:gridCol w:w="1815"/>
        <w:gridCol w:w="1828"/>
        <w:gridCol w:w="1210"/>
        <w:gridCol w:w="960"/>
      </w:tblGrid>
      <w:tr w:rsidR="009D5255">
        <w:trPr>
          <w:trHeight w:val="525"/>
        </w:trPr>
        <w:tc>
          <w:tcPr>
            <w:tcW w:w="1942" w:type="dxa"/>
            <w:tcBorders>
              <w:top w:val="single" w:sz="2" w:space="0" w:color="000000"/>
              <w:left w:val="single" w:sz="2" w:space="0" w:color="000000"/>
              <w:bottom w:val="single" w:sz="2" w:space="0" w:color="000000"/>
              <w:right w:val="single" w:sz="2" w:space="0" w:color="000000"/>
            </w:tcBorders>
            <w:shd w:val="clear" w:color="auto" w:fill="DDD9C3"/>
            <w:tcMar>
              <w:left w:w="27" w:type="dxa"/>
            </w:tcMar>
            <w:vAlign w:val="bottom"/>
          </w:tcPr>
          <w:p w:rsidR="009D5255" w:rsidRDefault="009C617D">
            <w:pPr>
              <w:pStyle w:val="Contenidodelatabla"/>
              <w:jc w:val="center"/>
              <w:rPr>
                <w:rFonts w:ascii="arial;sans-serif" w:eastAsia="arial;sans-serif" w:hAnsi="arial;sans-serif" w:cs="arial;sans-serif"/>
              </w:rPr>
            </w:pPr>
            <w:r>
              <w:rPr>
                <w:rStyle w:val="Muydestacado"/>
                <w:rFonts w:ascii="arial;sans-serif" w:hAnsi="arial;sans-serif"/>
              </w:rPr>
              <w:t>TIPO DE BENEFICIARIO</w:t>
            </w:r>
          </w:p>
        </w:tc>
        <w:tc>
          <w:tcPr>
            <w:tcW w:w="1672" w:type="dxa"/>
            <w:tcBorders>
              <w:top w:val="single" w:sz="2" w:space="0" w:color="000000"/>
              <w:left w:val="single" w:sz="2" w:space="0" w:color="000000"/>
              <w:bottom w:val="single" w:sz="2" w:space="0" w:color="000000"/>
              <w:right w:val="single" w:sz="2" w:space="0" w:color="000000"/>
            </w:tcBorders>
            <w:shd w:val="clear" w:color="auto" w:fill="DDD9C3"/>
            <w:tcMar>
              <w:left w:w="27" w:type="dxa"/>
            </w:tcMar>
            <w:vAlign w:val="bottom"/>
          </w:tcPr>
          <w:p w:rsidR="009D5255" w:rsidRDefault="009C617D">
            <w:pPr>
              <w:pStyle w:val="Contenidodelatabla"/>
              <w:jc w:val="center"/>
              <w:rPr>
                <w:rFonts w:ascii="arial;sans-serif" w:eastAsia="arial;sans-serif" w:hAnsi="arial;sans-serif" w:cs="arial;sans-serif"/>
              </w:rPr>
            </w:pPr>
            <w:r>
              <w:rPr>
                <w:rStyle w:val="Muydestacado"/>
                <w:rFonts w:ascii="arial;sans-serif" w:hAnsi="arial;sans-serif"/>
              </w:rPr>
              <w:t>DESCUENTO</w:t>
            </w:r>
          </w:p>
        </w:tc>
        <w:tc>
          <w:tcPr>
            <w:tcW w:w="1867" w:type="dxa"/>
            <w:tcBorders>
              <w:top w:val="single" w:sz="2" w:space="0" w:color="000000"/>
              <w:left w:val="single" w:sz="2" w:space="0" w:color="000000"/>
              <w:bottom w:val="single" w:sz="2" w:space="0" w:color="000000"/>
              <w:right w:val="single" w:sz="2" w:space="0" w:color="000000"/>
            </w:tcBorders>
            <w:shd w:val="clear" w:color="auto" w:fill="DDD9C3"/>
            <w:tcMar>
              <w:left w:w="27" w:type="dxa"/>
            </w:tcMar>
            <w:vAlign w:val="bottom"/>
          </w:tcPr>
          <w:p w:rsidR="009D5255" w:rsidRDefault="009C617D">
            <w:pPr>
              <w:pStyle w:val="Contenidodelatabla"/>
              <w:jc w:val="center"/>
              <w:rPr>
                <w:rFonts w:ascii="arial;sans-serif" w:eastAsia="arial;sans-serif" w:hAnsi="arial;sans-serif" w:cs="arial;sans-serif"/>
              </w:rPr>
            </w:pPr>
            <w:r>
              <w:rPr>
                <w:rStyle w:val="Muydestacado"/>
                <w:rFonts w:ascii="arial;sans-serif" w:hAnsi="arial;sans-serif"/>
              </w:rPr>
              <w:t>CONDICIONES</w:t>
            </w:r>
          </w:p>
        </w:tc>
        <w:tc>
          <w:tcPr>
            <w:tcW w:w="1531" w:type="dxa"/>
            <w:tcBorders>
              <w:top w:val="single" w:sz="2" w:space="0" w:color="000000"/>
              <w:left w:val="single" w:sz="2" w:space="0" w:color="000000"/>
              <w:bottom w:val="single" w:sz="2" w:space="0" w:color="000000"/>
              <w:right w:val="single" w:sz="2" w:space="0" w:color="000000"/>
            </w:tcBorders>
            <w:shd w:val="clear" w:color="auto" w:fill="DDD9C3"/>
            <w:tcMar>
              <w:left w:w="27" w:type="dxa"/>
            </w:tcMar>
            <w:vAlign w:val="bottom"/>
          </w:tcPr>
          <w:p w:rsidR="009D5255" w:rsidRDefault="009C617D">
            <w:pPr>
              <w:pStyle w:val="Contenidodelatabla"/>
              <w:jc w:val="center"/>
              <w:rPr>
                <w:rFonts w:ascii="arial;sans-serif" w:eastAsia="arial;sans-serif" w:hAnsi="arial;sans-serif" w:cs="arial;sans-serif"/>
              </w:rPr>
            </w:pPr>
            <w:r>
              <w:rPr>
                <w:rStyle w:val="Muydestacado"/>
                <w:rFonts w:ascii="arial;sans-serif" w:hAnsi="arial;sans-serif"/>
              </w:rPr>
              <w:t>TIPO DE UNIDAD FAMILIAR</w:t>
            </w:r>
          </w:p>
        </w:tc>
        <w:tc>
          <w:tcPr>
            <w:tcW w:w="1257" w:type="dxa"/>
            <w:tcBorders>
              <w:top w:val="single" w:sz="2" w:space="0" w:color="000000"/>
              <w:left w:val="single" w:sz="2" w:space="0" w:color="000000"/>
              <w:bottom w:val="single" w:sz="2" w:space="0" w:color="000000"/>
              <w:right w:val="single" w:sz="2" w:space="0" w:color="000000"/>
            </w:tcBorders>
            <w:shd w:val="clear" w:color="auto" w:fill="DDD9C3"/>
            <w:tcMar>
              <w:left w:w="27" w:type="dxa"/>
            </w:tcMar>
            <w:vAlign w:val="bottom"/>
          </w:tcPr>
          <w:p w:rsidR="009D5255" w:rsidRDefault="009C617D">
            <w:pPr>
              <w:pStyle w:val="Contenidodelatabla"/>
              <w:jc w:val="center"/>
              <w:rPr>
                <w:rFonts w:ascii="arial;sans-serif" w:eastAsia="arial;sans-serif" w:hAnsi="arial;sans-serif" w:cs="arial;sans-serif"/>
              </w:rPr>
            </w:pPr>
            <w:r>
              <w:rPr>
                <w:rStyle w:val="Muydestacado"/>
                <w:rFonts w:ascii="arial;sans-serif" w:hAnsi="arial;sans-serif"/>
              </w:rPr>
              <w:t>LIMITE DE ENERGIA</w:t>
            </w:r>
          </w:p>
        </w:tc>
        <w:tc>
          <w:tcPr>
            <w:tcW w:w="1029" w:type="dxa"/>
            <w:tcBorders>
              <w:top w:val="single" w:sz="2" w:space="0" w:color="000000"/>
              <w:left w:val="single" w:sz="2" w:space="0" w:color="000000"/>
              <w:bottom w:val="single" w:sz="2" w:space="0" w:color="000000"/>
              <w:right w:val="single" w:sz="2" w:space="0" w:color="000000"/>
            </w:tcBorders>
            <w:shd w:val="clear" w:color="auto" w:fill="DDD9C3"/>
            <w:tcMar>
              <w:left w:w="27" w:type="dxa"/>
            </w:tcMar>
            <w:vAlign w:val="bottom"/>
          </w:tcPr>
          <w:p w:rsidR="009D5255" w:rsidRDefault="009C617D">
            <w:pPr>
              <w:pStyle w:val="Contenidodelatabla"/>
              <w:jc w:val="center"/>
              <w:rPr>
                <w:rFonts w:ascii="arial;sans-serif" w:eastAsia="arial;sans-serif" w:hAnsi="arial;sans-serif" w:cs="arial;sans-serif"/>
              </w:rPr>
            </w:pPr>
            <w:r>
              <w:rPr>
                <w:rStyle w:val="Muydestacado"/>
                <w:rFonts w:ascii="arial;sans-serif" w:hAnsi="arial;sans-serif"/>
              </w:rPr>
              <w:t>PLAZO CORTE</w:t>
            </w:r>
          </w:p>
        </w:tc>
      </w:tr>
      <w:tr w:rsidR="009D5255">
        <w:trPr>
          <w:trHeight w:val="480"/>
        </w:trPr>
        <w:tc>
          <w:tcPr>
            <w:tcW w:w="1942"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FAMILIAS NUMEROSAS</w:t>
            </w:r>
          </w:p>
        </w:tc>
        <w:tc>
          <w:tcPr>
            <w:tcW w:w="1672"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25%</w:t>
            </w:r>
          </w:p>
        </w:tc>
        <w:tc>
          <w:tcPr>
            <w:tcW w:w="186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Ninguna</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Tres o más hijos u otras modalidades de familia numerosa</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3.600 kw/h año</w:t>
            </w:r>
          </w:p>
        </w:tc>
        <w:tc>
          <w:tcPr>
            <w:tcW w:w="1029"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2 MESES</w:t>
            </w:r>
          </w:p>
        </w:tc>
      </w:tr>
      <w:tr w:rsidR="009D5255">
        <w:trPr>
          <w:trHeight w:val="300"/>
        </w:trPr>
        <w:tc>
          <w:tcPr>
            <w:tcW w:w="1942"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PENSIONISTAS</w:t>
            </w:r>
          </w:p>
        </w:tc>
        <w:tc>
          <w:tcPr>
            <w:tcW w:w="1672"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25%</w:t>
            </w:r>
          </w:p>
        </w:tc>
        <w:tc>
          <w:tcPr>
            <w:tcW w:w="186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Pensión mínima</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Por jubilación o incapacidad</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1.680 kw/h año</w:t>
            </w:r>
          </w:p>
        </w:tc>
        <w:tc>
          <w:tcPr>
            <w:tcW w:w="1029"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2 MESES</w:t>
            </w:r>
          </w:p>
        </w:tc>
      </w:tr>
      <w:tr w:rsidR="009D5255">
        <w:tc>
          <w:tcPr>
            <w:tcW w:w="1942"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CONSUMIDOR VULNERABLE</w:t>
            </w:r>
          </w:p>
        </w:tc>
        <w:tc>
          <w:tcPr>
            <w:tcW w:w="1672"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25%</w:t>
            </w:r>
          </w:p>
        </w:tc>
        <w:tc>
          <w:tcPr>
            <w:tcW w:w="186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 xml:space="preserve">Renta anual &lt;=1,5 </w:t>
            </w:r>
            <w:r>
              <w:rPr>
                <w:rFonts w:ascii="arial;sans-serif" w:hAnsi="arial;sans-serif"/>
              </w:rPr>
              <w:t>IPREM</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Sin menores a 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1.200 kw/h año</w:t>
            </w:r>
          </w:p>
        </w:tc>
        <w:tc>
          <w:tcPr>
            <w:tcW w:w="1029"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4 MESES</w:t>
            </w: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86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Renta anual &lt;=2 IPREM</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Un menor a 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1.680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86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Renta anual &lt;=2,5 IPREM</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Dos menores a 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2.040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VULNERABLE SEVERO</w:t>
            </w:r>
          </w:p>
        </w:tc>
        <w:tc>
          <w:tcPr>
            <w:tcW w:w="1672"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40%</w:t>
            </w:r>
          </w:p>
        </w:tc>
        <w:tc>
          <w:tcPr>
            <w:tcW w:w="1867"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Con rentas inferiores al 80% de los vulnerables</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 xml:space="preserve">Sin menores a </w:t>
            </w:r>
            <w:r>
              <w:rPr>
                <w:rFonts w:ascii="arial;sans-serif" w:hAnsi="arial;sans-serif"/>
              </w:rPr>
              <w:t>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1.200 kw/h año</w:t>
            </w:r>
          </w:p>
        </w:tc>
        <w:tc>
          <w:tcPr>
            <w:tcW w:w="1029"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4 MESES</w:t>
            </w: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867"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Un menor a 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1.680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867"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Dos menores a 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2.040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3398" w:type="dxa"/>
            <w:gridSpan w:val="2"/>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Pensionistas renta &lt;=1 IPREM</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1.680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3398" w:type="dxa"/>
            <w:gridSpan w:val="2"/>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Familias numerosas renta &lt;=2 IPREM</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3.600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EN RIESGO DE EXCLUSIÓN</w:t>
            </w:r>
          </w:p>
        </w:tc>
        <w:tc>
          <w:tcPr>
            <w:tcW w:w="1672"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hAnsi="arial;sans-serif"/>
              </w:rPr>
            </w:pPr>
            <w:r>
              <w:rPr>
                <w:rFonts w:ascii="arial;sans-serif" w:hAnsi="arial;sans-serif"/>
              </w:rPr>
              <w:t>40%</w:t>
            </w:r>
          </w:p>
          <w:p w:rsidR="009D5255" w:rsidRDefault="009C617D">
            <w:pPr>
              <w:pStyle w:val="Contenidodelatabla"/>
              <w:jc w:val="center"/>
              <w:rPr>
                <w:rFonts w:ascii="arial;sans-serif" w:hAnsi="arial;sans-serif"/>
              </w:rPr>
            </w:pPr>
            <w:r>
              <w:rPr>
                <w:rFonts w:ascii="arial;sans-serif" w:hAnsi="arial;sans-serif"/>
              </w:rPr>
              <w:t>+</w:t>
            </w:r>
          </w:p>
          <w:p w:rsidR="009D5255" w:rsidRDefault="009C617D">
            <w:pPr>
              <w:pStyle w:val="Contenidodelatabla"/>
              <w:jc w:val="center"/>
              <w:rPr>
                <w:rFonts w:ascii="arial;sans-serif" w:hAnsi="arial;sans-serif"/>
              </w:rPr>
            </w:pPr>
            <w:r>
              <w:rPr>
                <w:rFonts w:ascii="arial;sans-serif" w:hAnsi="arial;sans-serif"/>
              </w:rPr>
              <w:t>50% financiado por</w:t>
            </w:r>
            <w:r>
              <w:rPr>
                <w:rFonts w:ascii="arial;sans-serif" w:hAnsi="arial;sans-serif"/>
              </w:rPr>
              <w:t xml:space="preserve"> Ayuntamiento o Comunidad Autónoma</w:t>
            </w:r>
          </w:p>
        </w:tc>
        <w:tc>
          <w:tcPr>
            <w:tcW w:w="1867"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Vulnerables severos atendidos por servicios sociales</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Sin menores a 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1.200 kw/h año</w:t>
            </w:r>
          </w:p>
        </w:tc>
        <w:tc>
          <w:tcPr>
            <w:tcW w:w="1029" w:type="dxa"/>
            <w:vMerge w:val="restart"/>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jc w:val="center"/>
              <w:rPr>
                <w:rFonts w:ascii="arial;sans-serif" w:eastAsia="arial;sans-serif" w:hAnsi="arial;sans-serif" w:cs="arial;sans-serif"/>
              </w:rPr>
            </w:pPr>
            <w:r>
              <w:rPr>
                <w:rFonts w:ascii="arial;sans-serif" w:hAnsi="arial;sans-serif"/>
              </w:rPr>
              <w:t>SIN CORTE</w:t>
            </w: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867"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C617D">
            <w:pPr>
              <w:pStyle w:val="Contenidodelatabla"/>
              <w:rPr>
                <w:rFonts w:ascii="arial;sans-serif" w:eastAsia="arial;sans-serif" w:hAnsi="arial;sans-serif" w:cs="arial;sans-serif"/>
              </w:rPr>
            </w:pPr>
            <w:r>
              <w:rPr>
                <w:rFonts w:ascii="arial;sans-serif" w:hAnsi="arial;sans-serif"/>
              </w:rPr>
              <w:t>Un menor a cargo/pensionistas</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1.680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867"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Dos menores a cargo</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2.040 kw/h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r w:rsidR="009D5255">
        <w:tc>
          <w:tcPr>
            <w:tcW w:w="194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672"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867"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c>
          <w:tcPr>
            <w:tcW w:w="1531"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Familias numerosas</w:t>
            </w:r>
          </w:p>
        </w:tc>
        <w:tc>
          <w:tcPr>
            <w:tcW w:w="1257" w:type="dxa"/>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bottom"/>
          </w:tcPr>
          <w:p w:rsidR="009D5255" w:rsidRDefault="009C617D">
            <w:pPr>
              <w:pStyle w:val="Contenidodelatabla"/>
              <w:rPr>
                <w:rFonts w:ascii="arial;sans-serif" w:eastAsia="arial;sans-serif" w:hAnsi="arial;sans-serif" w:cs="arial;sans-serif"/>
              </w:rPr>
            </w:pPr>
            <w:r>
              <w:rPr>
                <w:rFonts w:ascii="arial;sans-serif" w:hAnsi="arial;sans-serif"/>
              </w:rPr>
              <w:t>3.600 kw/h</w:t>
            </w:r>
            <w:r>
              <w:rPr>
                <w:rFonts w:ascii="arial;sans-serif" w:hAnsi="arial;sans-serif"/>
              </w:rPr>
              <w:t xml:space="preserve"> año</w:t>
            </w:r>
          </w:p>
        </w:tc>
        <w:tc>
          <w:tcPr>
            <w:tcW w:w="1029" w:type="dxa"/>
            <w:vMerge/>
            <w:tcBorders>
              <w:top w:val="single" w:sz="2" w:space="0" w:color="000000"/>
              <w:left w:val="single" w:sz="2" w:space="0" w:color="000000"/>
              <w:bottom w:val="single" w:sz="2" w:space="0" w:color="000000"/>
              <w:right w:val="single" w:sz="2" w:space="0" w:color="000000"/>
            </w:tcBorders>
            <w:shd w:val="clear" w:color="auto" w:fill="FFFFFF"/>
            <w:tcMar>
              <w:left w:w="27" w:type="dxa"/>
            </w:tcMar>
            <w:vAlign w:val="center"/>
          </w:tcPr>
          <w:p w:rsidR="009D5255" w:rsidRDefault="009D5255">
            <w:pPr>
              <w:pStyle w:val="Contenidodelatabla"/>
              <w:rPr>
                <w:sz w:val="4"/>
                <w:szCs w:val="4"/>
              </w:rPr>
            </w:pPr>
          </w:p>
        </w:tc>
      </w:tr>
    </w:tbl>
    <w:p w:rsidR="009D5255" w:rsidRDefault="009D5255">
      <w:pPr>
        <w:pStyle w:val="Textodecuerpo"/>
      </w:pPr>
    </w:p>
    <w:p w:rsidR="009D5255" w:rsidRDefault="009C617D">
      <w:pPr>
        <w:pStyle w:val="Textodecuerpo"/>
      </w:pPr>
      <w:r>
        <w:rPr>
          <w:rStyle w:val="Muydestacado"/>
          <w:rFonts w:ascii="arial;sans-serif" w:hAnsi="arial;sans-serif"/>
          <w:b w:val="0"/>
          <w:color w:val="222222"/>
          <w:sz w:val="18"/>
        </w:rPr>
        <w:t xml:space="preserve">Comprueba si tienes acceso al bono social y solicita su aplicación a la empresa comercializadora de referencia con el modelo que debe poner a tu disposición. </w:t>
      </w:r>
    </w:p>
    <w:p w:rsidR="009D5255" w:rsidRDefault="009C617D">
      <w:pPr>
        <w:pStyle w:val="Textodecuerpo"/>
      </w:pPr>
      <w:r>
        <w:rPr>
          <w:rStyle w:val="Muydestacado"/>
          <w:rFonts w:ascii="arial;sans-serif" w:hAnsi="arial;sans-serif"/>
          <w:b w:val="0"/>
          <w:color w:val="222222"/>
          <w:sz w:val="18"/>
        </w:rPr>
        <w:t xml:space="preserve">Puedes consultar el listado de empresas aquí: </w:t>
      </w:r>
      <w:hyperlink r:id="rId8" w:anchor="_blank" w:history="1">
        <w:r>
          <w:rPr>
            <w:rStyle w:val="Muydestacado"/>
            <w:rFonts w:ascii="arial;sans-serif" w:hAnsi="arial;sans-serif"/>
            <w:b w:val="0"/>
            <w:color w:val="1155CC"/>
            <w:sz w:val="18"/>
          </w:rPr>
          <w:t>https://www.cnmc.es/ambitos-de-actuacion/energia/mercado-electrico#listados</w:t>
        </w:r>
      </w:hyperlink>
    </w:p>
    <w:p w:rsidR="009D5255" w:rsidRDefault="009C617D">
      <w:pPr>
        <w:pStyle w:val="Textodecuerpo"/>
      </w:pPr>
      <w:r>
        <w:rPr>
          <w:rStyle w:val="Muydestacado"/>
          <w:rFonts w:ascii="arial;sans-serif" w:hAnsi="arial;sans-serif"/>
          <w:b w:val="0"/>
          <w:color w:val="222222"/>
          <w:sz w:val="18"/>
          <w:u w:val="single"/>
        </w:rPr>
        <w:t>Suspensión del suministro eléctrico a consumidores con potencia igual o inferior a 10K</w:t>
      </w:r>
      <w:r>
        <w:rPr>
          <w:rStyle w:val="Muydestacado"/>
          <w:rFonts w:ascii="arial;sans-serif" w:hAnsi="arial;sans-serif"/>
          <w:b w:val="0"/>
          <w:color w:val="222222"/>
          <w:sz w:val="18"/>
          <w:u w:val="single"/>
        </w:rPr>
        <w:t>W, con independencia de la tarifa que tengan contratada:</w:t>
      </w:r>
    </w:p>
    <w:p w:rsidR="009D5255" w:rsidRDefault="009C617D">
      <w:pPr>
        <w:pStyle w:val="Textodecuerpo"/>
        <w:rPr>
          <w:rFonts w:ascii="arial;sans-serif" w:hAnsi="arial;sans-serif"/>
          <w:color w:val="222222"/>
          <w:sz w:val="18"/>
        </w:rPr>
      </w:pPr>
      <w:r>
        <w:rPr>
          <w:rFonts w:ascii="arial;sans-serif" w:hAnsi="arial;sans-serif"/>
          <w:color w:val="222222"/>
          <w:sz w:val="18"/>
        </w:rPr>
        <w:t>La suspensión por impago tanto en PVPC como en mercado libre se podrá realizar siempre que se realicen los siguientes pasos:</w:t>
      </w:r>
    </w:p>
    <w:p w:rsidR="009D5255" w:rsidRDefault="009C617D">
      <w:pPr>
        <w:pStyle w:val="Textodecuerpo"/>
        <w:numPr>
          <w:ilvl w:val="0"/>
          <w:numId w:val="2"/>
        </w:numPr>
        <w:tabs>
          <w:tab w:val="left" w:pos="0"/>
        </w:tabs>
        <w:ind w:left="932"/>
        <w:rPr>
          <w:color w:val="222222"/>
        </w:rPr>
      </w:pPr>
      <w:r>
        <w:rPr>
          <w:rFonts w:ascii="arial;sans-serif" w:hAnsi="arial;sans-serif"/>
          <w:color w:val="222222"/>
          <w:sz w:val="18"/>
        </w:rPr>
        <w:t>Situación de impago (20 días después de la emisión de la factura)</w:t>
      </w:r>
    </w:p>
    <w:p w:rsidR="009D5255" w:rsidRDefault="009C617D">
      <w:pPr>
        <w:pStyle w:val="Textodecuerpo"/>
        <w:numPr>
          <w:ilvl w:val="0"/>
          <w:numId w:val="2"/>
        </w:numPr>
        <w:tabs>
          <w:tab w:val="left" w:pos="0"/>
        </w:tabs>
        <w:ind w:left="932"/>
        <w:rPr>
          <w:rFonts w:ascii="arial;sans-serif" w:hAnsi="arial;sans-serif"/>
          <w:color w:val="222222"/>
          <w:sz w:val="18"/>
        </w:rPr>
      </w:pPr>
      <w:r>
        <w:rPr>
          <w:rFonts w:ascii="arial;sans-serif" w:hAnsi="arial;sans-serif"/>
          <w:color w:val="222222"/>
          <w:sz w:val="18"/>
        </w:rPr>
        <w:t>Comunica</w:t>
      </w:r>
      <w:r>
        <w:rPr>
          <w:rFonts w:ascii="arial;sans-serif" w:hAnsi="arial;sans-serif"/>
          <w:color w:val="222222"/>
          <w:sz w:val="18"/>
        </w:rPr>
        <w:t>ción fehaciente de la empresa comercializadora de la situación de impago y pago de la factura.</w:t>
      </w:r>
    </w:p>
    <w:p w:rsidR="009D5255" w:rsidRDefault="009C617D">
      <w:pPr>
        <w:pStyle w:val="Textodecuerpo"/>
        <w:numPr>
          <w:ilvl w:val="0"/>
          <w:numId w:val="2"/>
        </w:numPr>
        <w:tabs>
          <w:tab w:val="left" w:pos="0"/>
        </w:tabs>
        <w:ind w:left="932"/>
        <w:rPr>
          <w:rFonts w:ascii="arial;sans-serif" w:hAnsi="arial;sans-serif"/>
          <w:color w:val="222222"/>
          <w:sz w:val="18"/>
        </w:rPr>
      </w:pPr>
      <w:r>
        <w:rPr>
          <w:rFonts w:ascii="arial;sans-serif" w:hAnsi="arial;sans-serif"/>
          <w:color w:val="222222"/>
          <w:sz w:val="18"/>
        </w:rPr>
        <w:t>Remisión al órgano de la administración autonómica competente.</w:t>
      </w:r>
    </w:p>
    <w:p w:rsidR="009D5255" w:rsidRDefault="009C617D">
      <w:pPr>
        <w:pStyle w:val="Textodecuerpo"/>
        <w:numPr>
          <w:ilvl w:val="0"/>
          <w:numId w:val="2"/>
        </w:numPr>
        <w:tabs>
          <w:tab w:val="left" w:pos="0"/>
        </w:tabs>
        <w:ind w:left="932"/>
        <w:rPr>
          <w:rFonts w:ascii="arial;sans-serif" w:hAnsi="arial;sans-serif"/>
          <w:color w:val="222222"/>
          <w:sz w:val="18"/>
        </w:rPr>
      </w:pPr>
      <w:r>
        <w:rPr>
          <w:rFonts w:ascii="arial;sans-serif" w:hAnsi="arial;sans-serif"/>
          <w:color w:val="222222"/>
          <w:sz w:val="18"/>
        </w:rPr>
        <w:lastRenderedPageBreak/>
        <w:t xml:space="preserve">Con una antelación de 15 días hábiles a la finalización del plazo, la comercializadora volverá a </w:t>
      </w:r>
      <w:r>
        <w:rPr>
          <w:rFonts w:ascii="arial;sans-serif" w:hAnsi="arial;sans-serif"/>
          <w:color w:val="222222"/>
          <w:sz w:val="18"/>
        </w:rPr>
        <w:t>comunicarse con el consumidor, indicando la fecha concreta a partir de la cual puede ser suspendido el suministro.</w:t>
      </w:r>
    </w:p>
    <w:p w:rsidR="009D5255" w:rsidRDefault="009C617D">
      <w:pPr>
        <w:pStyle w:val="Textodecuerpo"/>
        <w:rPr>
          <w:rFonts w:ascii="arial;sans-serif" w:hAnsi="arial;sans-serif"/>
          <w:color w:val="222222"/>
          <w:sz w:val="18"/>
        </w:rPr>
      </w:pPr>
      <w:r>
        <w:rPr>
          <w:rFonts w:ascii="arial;sans-serif" w:hAnsi="arial;sans-serif"/>
          <w:color w:val="222222"/>
          <w:sz w:val="18"/>
        </w:rPr>
        <w:t xml:space="preserve">No podrá señalarse como día para la interrupción un día festivo ni aquellos en los que, por cualquier motivo, no exista servicio de atención </w:t>
      </w:r>
      <w:r>
        <w:rPr>
          <w:rFonts w:ascii="arial;sans-serif" w:hAnsi="arial;sans-serif"/>
          <w:color w:val="222222"/>
          <w:sz w:val="18"/>
        </w:rPr>
        <w:t>al cliente tanto comercial como técnico a efectos de la reposición del suministro de electricidad. Tampoco será posible en la víspera de aquellos días en los que se dé alguna de estas circunstancias.</w:t>
      </w:r>
    </w:p>
    <w:p w:rsidR="009D5255" w:rsidRDefault="009C617D">
      <w:pPr>
        <w:pStyle w:val="Textodecuerpo"/>
      </w:pPr>
      <w:r>
        <w:rPr>
          <w:rFonts w:ascii="arial;sans-serif" w:hAnsi="arial;sans-serif"/>
          <w:color w:val="222222"/>
          <w:sz w:val="18"/>
        </w:rPr>
        <w:t>En el caso de los consumidores en riesgo de exclusión so</w:t>
      </w:r>
      <w:r>
        <w:rPr>
          <w:rFonts w:ascii="arial;sans-serif" w:hAnsi="arial;sans-serif"/>
          <w:color w:val="222222"/>
          <w:sz w:val="18"/>
        </w:rPr>
        <w:t xml:space="preserve">cial, el suministro no podrá ser suspendido cuando los servicios de la Administración autonómica o local estén atendiendo al menos el 50% de la factura del consumidor y cuando el pago sea efectuado y acreditado mediante el correspondiente certificado ante </w:t>
      </w:r>
      <w:r>
        <w:rPr>
          <w:rFonts w:ascii="arial;sans-serif" w:hAnsi="arial;sans-serif"/>
          <w:color w:val="222222"/>
          <w:sz w:val="18"/>
        </w:rPr>
        <w:t>el comercializador de referencia en el plazo de 5 meses desde la emisión de la factura.</w:t>
      </w:r>
    </w:p>
    <w:sectPr w:rsidR="009D525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0"/>
    <w:family w:val="roman"/>
    <w:pitch w:val="variable"/>
  </w:font>
  <w:font w:name="SimSu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arial;sans-serif">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6552E"/>
    <w:multiLevelType w:val="multilevel"/>
    <w:tmpl w:val="F586AFB8"/>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nsid w:val="6CDF6784"/>
    <w:multiLevelType w:val="multilevel"/>
    <w:tmpl w:val="E4F8BAC0"/>
    <w:lvl w:ilvl="0">
      <w:start w:val="1"/>
      <w:numFmt w:val="decimal"/>
      <w:suff w:val="nothing"/>
      <w:lvlText w:val="%1."/>
      <w:lvlJc w:val="left"/>
      <w:pPr>
        <w:tabs>
          <w:tab w:val="num" w:pos="707"/>
        </w:tabs>
        <w:ind w:left="707" w:firstLine="0"/>
      </w:pPr>
      <w:rPr>
        <w:sz w:val="22"/>
        <w:szCs w:val="22"/>
      </w:rPr>
    </w:lvl>
    <w:lvl w:ilvl="1">
      <w:start w:val="1"/>
      <w:numFmt w:val="decimal"/>
      <w:lvlText w:val="%2."/>
      <w:lvlJc w:val="left"/>
      <w:pPr>
        <w:tabs>
          <w:tab w:val="num" w:pos="1414"/>
        </w:tabs>
        <w:ind w:left="1414" w:hanging="283"/>
      </w:pPr>
      <w:rPr>
        <w:sz w:val="22"/>
        <w:szCs w:val="22"/>
      </w:rPr>
    </w:lvl>
    <w:lvl w:ilvl="2">
      <w:start w:val="1"/>
      <w:numFmt w:val="decimal"/>
      <w:lvlText w:val="%3."/>
      <w:lvlJc w:val="left"/>
      <w:pPr>
        <w:tabs>
          <w:tab w:val="num" w:pos="2121"/>
        </w:tabs>
        <w:ind w:left="2121" w:hanging="283"/>
      </w:pPr>
      <w:rPr>
        <w:sz w:val="22"/>
        <w:szCs w:val="22"/>
      </w:rPr>
    </w:lvl>
    <w:lvl w:ilvl="3">
      <w:start w:val="1"/>
      <w:numFmt w:val="decimal"/>
      <w:lvlText w:val="%4."/>
      <w:lvlJc w:val="left"/>
      <w:pPr>
        <w:tabs>
          <w:tab w:val="num" w:pos="2828"/>
        </w:tabs>
        <w:ind w:left="2828" w:hanging="283"/>
      </w:pPr>
      <w:rPr>
        <w:sz w:val="22"/>
        <w:szCs w:val="22"/>
      </w:rPr>
    </w:lvl>
    <w:lvl w:ilvl="4">
      <w:start w:val="1"/>
      <w:numFmt w:val="decimal"/>
      <w:lvlText w:val="%5."/>
      <w:lvlJc w:val="left"/>
      <w:pPr>
        <w:tabs>
          <w:tab w:val="num" w:pos="3535"/>
        </w:tabs>
        <w:ind w:left="3535" w:hanging="283"/>
      </w:pPr>
      <w:rPr>
        <w:sz w:val="22"/>
        <w:szCs w:val="22"/>
      </w:rPr>
    </w:lvl>
    <w:lvl w:ilvl="5">
      <w:start w:val="1"/>
      <w:numFmt w:val="decimal"/>
      <w:lvlText w:val="%6."/>
      <w:lvlJc w:val="left"/>
      <w:pPr>
        <w:tabs>
          <w:tab w:val="num" w:pos="4242"/>
        </w:tabs>
        <w:ind w:left="4242" w:hanging="283"/>
      </w:pPr>
      <w:rPr>
        <w:sz w:val="22"/>
        <w:szCs w:val="22"/>
      </w:rPr>
    </w:lvl>
    <w:lvl w:ilvl="6">
      <w:start w:val="1"/>
      <w:numFmt w:val="decimal"/>
      <w:lvlText w:val="%7."/>
      <w:lvlJc w:val="left"/>
      <w:pPr>
        <w:tabs>
          <w:tab w:val="num" w:pos="4949"/>
        </w:tabs>
        <w:ind w:left="4949" w:hanging="283"/>
      </w:pPr>
      <w:rPr>
        <w:sz w:val="22"/>
        <w:szCs w:val="22"/>
      </w:rPr>
    </w:lvl>
    <w:lvl w:ilvl="7">
      <w:start w:val="1"/>
      <w:numFmt w:val="decimal"/>
      <w:lvlText w:val="%8."/>
      <w:lvlJc w:val="left"/>
      <w:pPr>
        <w:tabs>
          <w:tab w:val="num" w:pos="5656"/>
        </w:tabs>
        <w:ind w:left="5656" w:hanging="283"/>
      </w:pPr>
      <w:rPr>
        <w:sz w:val="22"/>
        <w:szCs w:val="22"/>
      </w:rPr>
    </w:lvl>
    <w:lvl w:ilvl="8">
      <w:start w:val="1"/>
      <w:numFmt w:val="decimal"/>
      <w:lvlText w:val="%9."/>
      <w:lvlJc w:val="left"/>
      <w:pPr>
        <w:tabs>
          <w:tab w:val="num" w:pos="6363"/>
        </w:tabs>
        <w:ind w:left="6363" w:hanging="283"/>
      </w:pPr>
      <w:rPr>
        <w:sz w:val="22"/>
        <w:szCs w:val="22"/>
      </w:rPr>
    </w:lvl>
  </w:abstractNum>
  <w:abstractNum w:abstractNumId="2">
    <w:nsid w:val="6DE23EF7"/>
    <w:multiLevelType w:val="multilevel"/>
    <w:tmpl w:val="A918A4AC"/>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55"/>
    <w:rsid w:val="009C617D"/>
    <w:rsid w:val="009D525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 w:val="24"/>
        <w:szCs w:val="24"/>
        <w:lang w:val="es-E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2">
    <w:name w:val="Heading 2"/>
    <w:basedOn w:val="Encabezado"/>
    <w:next w:val="Textodecuerpo"/>
    <w:qFormat/>
    <w:pPr>
      <w:spacing w:before="200"/>
      <w:outlineLvl w:val="1"/>
    </w:pPr>
    <w:rPr>
      <w:rFonts w:ascii="Liberation Serif" w:eastAsia="SimSun" w:hAnsi="Liberation Serif"/>
      <w:b/>
      <w:bCs/>
      <w:sz w:val="36"/>
      <w:szCs w:val="36"/>
    </w:rPr>
  </w:style>
  <w:style w:type="character" w:customStyle="1" w:styleId="Muydestacado">
    <w:name w:val="Muy destacado"/>
    <w:qFormat/>
    <w:rPr>
      <w:b/>
      <w:bCs/>
    </w:rPr>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lang w:val="uz-Cyrl-UZ" w:eastAsia="uz-Cyrl-UZ" w:bidi="uz-Cyrl-UZ"/>
    </w:rPr>
  </w:style>
  <w:style w:type="character" w:customStyle="1" w:styleId="Smbolosdenumeracin">
    <w:name w:val="Símbolos de numeración"/>
    <w:qFormat/>
    <w:rPr>
      <w:sz w:val="22"/>
      <w:szCs w:val="22"/>
    </w:rPr>
  </w:style>
  <w:style w:type="paragraph" w:styleId="Encabezado">
    <w:name w:val="header"/>
    <w:basedOn w:val="Normal"/>
    <w:next w:val="Textodecuerpo"/>
    <w:qFormat/>
    <w:pPr>
      <w:keepNext/>
      <w:spacing w:before="240" w:after="120"/>
    </w:pPr>
    <w:rPr>
      <w:rFonts w:ascii="Liberation Sans" w:eastAsia="Microsoft YaHei" w:hAnsi="Liberation Sans"/>
      <w:sz w:val="28"/>
      <w:szCs w:val="28"/>
    </w:rPr>
  </w:style>
  <w:style w:type="paragraph" w:styleId="Textodecuerpo">
    <w:name w:val="Body Text"/>
    <w:basedOn w:val="Normal"/>
    <w:pPr>
      <w:spacing w:after="140" w:line="288" w:lineRule="auto"/>
    </w:pPr>
  </w:style>
  <w:style w:type="paragraph" w:styleId="Lista">
    <w:name w:val="List"/>
    <w:basedOn w:val="Textodecuerpo"/>
  </w:style>
  <w:style w:type="paragraph" w:customStyle="1"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 w:val="24"/>
        <w:szCs w:val="24"/>
        <w:lang w:val="es-E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2">
    <w:name w:val="Heading 2"/>
    <w:basedOn w:val="Encabezado"/>
    <w:next w:val="Textodecuerpo"/>
    <w:qFormat/>
    <w:pPr>
      <w:spacing w:before="200"/>
      <w:outlineLvl w:val="1"/>
    </w:pPr>
    <w:rPr>
      <w:rFonts w:ascii="Liberation Serif" w:eastAsia="SimSun" w:hAnsi="Liberation Serif"/>
      <w:b/>
      <w:bCs/>
      <w:sz w:val="36"/>
      <w:szCs w:val="36"/>
    </w:rPr>
  </w:style>
  <w:style w:type="character" w:customStyle="1" w:styleId="Muydestacado">
    <w:name w:val="Muy destacado"/>
    <w:qFormat/>
    <w:rPr>
      <w:b/>
      <w:bCs/>
    </w:rPr>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lang w:val="uz-Cyrl-UZ" w:eastAsia="uz-Cyrl-UZ" w:bidi="uz-Cyrl-UZ"/>
    </w:rPr>
  </w:style>
  <w:style w:type="character" w:customStyle="1" w:styleId="Smbolosdenumeracin">
    <w:name w:val="Símbolos de numeración"/>
    <w:qFormat/>
    <w:rPr>
      <w:sz w:val="22"/>
      <w:szCs w:val="22"/>
    </w:rPr>
  </w:style>
  <w:style w:type="paragraph" w:styleId="Encabezado">
    <w:name w:val="header"/>
    <w:basedOn w:val="Normal"/>
    <w:next w:val="Textodecuerpo"/>
    <w:qFormat/>
    <w:pPr>
      <w:keepNext/>
      <w:spacing w:before="240" w:after="120"/>
    </w:pPr>
    <w:rPr>
      <w:rFonts w:ascii="Liberation Sans" w:eastAsia="Microsoft YaHei" w:hAnsi="Liberation Sans"/>
      <w:sz w:val="28"/>
      <w:szCs w:val="28"/>
    </w:rPr>
  </w:style>
  <w:style w:type="paragraph" w:styleId="Textodecuerpo">
    <w:name w:val="Body Text"/>
    <w:basedOn w:val="Normal"/>
    <w:pPr>
      <w:spacing w:after="140" w:line="288" w:lineRule="auto"/>
    </w:pPr>
  </w:style>
  <w:style w:type="paragraph" w:styleId="Lista">
    <w:name w:val="List"/>
    <w:basedOn w:val="Textodecuerpo"/>
  </w:style>
  <w:style w:type="paragraph" w:customStyle="1"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acua.org/" TargetMode="External"/><Relationship Id="rId7" Type="http://schemas.openxmlformats.org/officeDocument/2006/relationships/image" Target="media/image1.png"/><Relationship Id="rId8" Type="http://schemas.openxmlformats.org/officeDocument/2006/relationships/hyperlink" Target="https://www.cnmc.es/ambitos-de-actuacion/energia/mercado-electric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4590</Characters>
  <Application>Microsoft Macintosh Word</Application>
  <DocSecurity>4</DocSecurity>
  <Lines>38</Lines>
  <Paragraphs>10</Paragraphs>
  <ScaleCrop>false</ScaleCrop>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RICHARD</cp:lastModifiedBy>
  <cp:revision>2</cp:revision>
  <dcterms:created xsi:type="dcterms:W3CDTF">2017-11-22T08:10:00Z</dcterms:created>
  <dcterms:modified xsi:type="dcterms:W3CDTF">2017-11-22T08:10:00Z</dcterms:modified>
  <dc:language>es-ES</dc:language>
</cp:coreProperties>
</file>